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FC556AD" w14:textId="77777777" w:rsidR="0039444B" w:rsidRPr="0039444B" w:rsidRDefault="0039444B" w:rsidP="0039444B">
      <w:pPr>
        <w:spacing w:line="560" w:lineRule="exact"/>
        <w:jc w:val="center"/>
        <w:rPr>
          <w:rFonts w:ascii="方正小标宋简体" w:eastAsia="方正小标宋简体" w:hAnsi="黑体" w:cs="黑体"/>
          <w:sz w:val="44"/>
          <w:szCs w:val="30"/>
        </w:rPr>
      </w:pPr>
      <w:r w:rsidRPr="0039444B">
        <w:rPr>
          <w:rFonts w:ascii="方正小标宋简体" w:eastAsia="方正小标宋简体" w:hAnsi="黑体" w:cs="黑体" w:hint="eastAsia"/>
          <w:sz w:val="44"/>
          <w:szCs w:val="30"/>
        </w:rPr>
        <w:t>厦门大学能源学院研究生奖学金</w:t>
      </w:r>
    </w:p>
    <w:p w14:paraId="509B2594" w14:textId="164173F8" w:rsidR="0039444B" w:rsidRPr="0039444B" w:rsidRDefault="0039444B" w:rsidP="0039444B">
      <w:pPr>
        <w:spacing w:line="560" w:lineRule="exact"/>
        <w:jc w:val="center"/>
        <w:rPr>
          <w:rFonts w:ascii="方正小标宋简体" w:eastAsia="方正小标宋简体" w:hAnsi="黑体" w:cs="黑体"/>
          <w:sz w:val="52"/>
          <w:szCs w:val="30"/>
        </w:rPr>
      </w:pPr>
      <w:r w:rsidRPr="0039444B">
        <w:rPr>
          <w:rFonts w:ascii="方正小标宋简体" w:eastAsia="方正小标宋简体" w:hAnsi="黑体" w:cs="黑体" w:hint="eastAsia"/>
          <w:sz w:val="44"/>
          <w:szCs w:val="30"/>
        </w:rPr>
        <w:t>量化评分（暂行）细则（202</w:t>
      </w:r>
      <w:r w:rsidR="00516067">
        <w:rPr>
          <w:rFonts w:ascii="方正小标宋简体" w:eastAsia="方正小标宋简体" w:hAnsi="黑体" w:cs="黑体"/>
          <w:sz w:val="44"/>
          <w:szCs w:val="30"/>
        </w:rPr>
        <w:t>3</w:t>
      </w:r>
      <w:r w:rsidRPr="0039444B">
        <w:rPr>
          <w:rFonts w:ascii="方正小标宋简体" w:eastAsia="方正小标宋简体" w:hAnsi="黑体" w:cs="黑体" w:hint="eastAsia"/>
          <w:sz w:val="44"/>
          <w:szCs w:val="30"/>
        </w:rPr>
        <w:t>年修订）</w:t>
      </w:r>
    </w:p>
    <w:p w14:paraId="6AFD8CFC" w14:textId="77777777" w:rsidR="0039444B" w:rsidRPr="0039444B" w:rsidRDefault="0039444B" w:rsidP="0039444B">
      <w:pPr>
        <w:spacing w:line="560" w:lineRule="exact"/>
        <w:jc w:val="center"/>
        <w:rPr>
          <w:rFonts w:ascii="方正小标宋简体" w:eastAsia="方正小标宋简体" w:hAnsi="黑体" w:cs="黑体"/>
          <w:szCs w:val="30"/>
        </w:rPr>
      </w:pPr>
    </w:p>
    <w:p w14:paraId="1C1680CE" w14:textId="77777777" w:rsidR="0039444B" w:rsidRPr="0039444B" w:rsidRDefault="0039444B" w:rsidP="0039444B">
      <w:pPr>
        <w:spacing w:line="560" w:lineRule="atLeast"/>
        <w:ind w:firstLineChars="200" w:firstLine="632"/>
        <w:rPr>
          <w:rFonts w:ascii="仿宋_GB2312" w:hAnsi="宋体" w:cs="Times New Roman"/>
          <w:szCs w:val="32"/>
        </w:rPr>
      </w:pPr>
      <w:r w:rsidRPr="0039444B">
        <w:rPr>
          <w:rFonts w:ascii="仿宋_GB2312" w:hAnsi="宋体" w:cs="Times New Roman" w:hint="eastAsia"/>
          <w:szCs w:val="32"/>
        </w:rPr>
        <w:t>1</w:t>
      </w:r>
      <w:r w:rsidRPr="0039444B">
        <w:rPr>
          <w:rFonts w:ascii="仿宋_GB2312" w:hAnsi="宋体" w:cs="宋体" w:hint="eastAsia"/>
          <w:szCs w:val="32"/>
        </w:rPr>
        <w:t>.成绩计算分值方法：成绩分</w:t>
      </w:r>
      <w:r w:rsidRPr="0039444B">
        <w:rPr>
          <w:rFonts w:ascii="仿宋_GB2312" w:hAnsi="宋体" w:cs="Times New Roman" w:hint="eastAsia"/>
          <w:szCs w:val="32"/>
        </w:rPr>
        <w:t>=</w:t>
      </w:r>
      <w:r w:rsidRPr="0039444B">
        <w:rPr>
          <w:rFonts w:ascii="仿宋_GB2312" w:hAnsi="宋体" w:cs="Times New Roman"/>
          <w:position w:val="-14"/>
          <w:szCs w:val="32"/>
        </w:rPr>
        <w:object w:dxaOrig="1680" w:dyaOrig="460" w14:anchorId="3DC8A2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23.25pt" o:ole="">
            <v:imagedata r:id="rId7" o:title=""/>
          </v:shape>
          <o:OLEObject Type="Embed" ProgID="Equation.3" ShapeID="_x0000_i1025" DrawAspect="Content" ObjectID="_1740983069" r:id="rId8"/>
        </w:object>
      </w:r>
      <w:r w:rsidRPr="0039444B">
        <w:rPr>
          <w:rFonts w:ascii="仿宋_GB2312" w:hAnsi="宋体" w:cs="宋体" w:hint="eastAsia"/>
          <w:szCs w:val="32"/>
        </w:rPr>
        <w:t>（毕业班</w:t>
      </w:r>
      <w:r w:rsidRPr="0039444B">
        <w:rPr>
          <w:rFonts w:ascii="仿宋_GB2312" w:hAnsi="宋体" w:cs="Times New Roman" w:hint="eastAsia"/>
          <w:szCs w:val="32"/>
        </w:rPr>
        <w:t>P</w:t>
      </w:r>
      <w:r w:rsidRPr="0039444B">
        <w:rPr>
          <w:rFonts w:ascii="仿宋_GB2312" w:hAnsi="宋体" w:cs="宋体" w:hint="eastAsia"/>
          <w:szCs w:val="32"/>
        </w:rPr>
        <w:t>为</w:t>
      </w:r>
      <w:r w:rsidRPr="0039444B">
        <w:rPr>
          <w:rFonts w:ascii="仿宋_GB2312" w:hAnsi="宋体" w:cs="Times New Roman" w:hint="eastAsia"/>
          <w:szCs w:val="32"/>
        </w:rPr>
        <w:t>30</w:t>
      </w:r>
      <w:r w:rsidRPr="0039444B">
        <w:rPr>
          <w:rFonts w:ascii="仿宋_GB2312" w:hAnsi="宋体" w:cs="宋体" w:hint="eastAsia"/>
          <w:szCs w:val="32"/>
        </w:rPr>
        <w:t>，非毕业班为</w:t>
      </w:r>
      <w:r w:rsidRPr="0039444B">
        <w:rPr>
          <w:rFonts w:ascii="仿宋_GB2312" w:hAnsi="宋体" w:cs="Times New Roman" w:hint="eastAsia"/>
          <w:szCs w:val="32"/>
        </w:rPr>
        <w:t>40</w:t>
      </w:r>
      <w:r w:rsidRPr="0039444B">
        <w:rPr>
          <w:rFonts w:ascii="仿宋_GB2312" w:hAnsi="宋体" w:cs="宋体" w:hint="eastAsia"/>
          <w:szCs w:val="32"/>
        </w:rPr>
        <w:t>）。</w:t>
      </w:r>
    </w:p>
    <w:p w14:paraId="26582FFC" w14:textId="77777777" w:rsidR="0039444B" w:rsidRPr="0039444B" w:rsidRDefault="0039444B" w:rsidP="0039444B">
      <w:pPr>
        <w:spacing w:line="560" w:lineRule="atLeast"/>
        <w:ind w:firstLineChars="200" w:firstLine="632"/>
        <w:rPr>
          <w:rFonts w:ascii="仿宋_GB2312" w:hAnsi="宋体" w:cs="Times New Roman"/>
          <w:szCs w:val="32"/>
        </w:rPr>
      </w:pPr>
      <w:r w:rsidRPr="0039444B">
        <w:rPr>
          <w:rFonts w:ascii="仿宋_GB2312" w:hAnsi="宋体" w:cs="Times New Roman" w:hint="eastAsia"/>
          <w:szCs w:val="32"/>
        </w:rPr>
        <w:t>2</w:t>
      </w:r>
      <w:r w:rsidRPr="0039444B">
        <w:rPr>
          <w:rFonts w:ascii="仿宋_GB2312" w:hAnsi="宋体" w:cs="宋体" w:hint="eastAsia"/>
          <w:szCs w:val="32"/>
        </w:rPr>
        <w:t>.科研成果算分方法：</w:t>
      </w:r>
    </w:p>
    <w:p w14:paraId="2035A586" w14:textId="77777777" w:rsidR="0039444B" w:rsidRPr="0039444B" w:rsidRDefault="0039444B" w:rsidP="0039444B">
      <w:pPr>
        <w:widowControl/>
        <w:spacing w:line="560" w:lineRule="atLeast"/>
        <w:ind w:firstLineChars="200" w:firstLine="632"/>
        <w:jc w:val="left"/>
        <w:rPr>
          <w:rFonts w:ascii="仿宋_GB2312" w:hAnsi="宋体" w:cs="Times New Roman"/>
          <w:color w:val="000000"/>
          <w:kern w:val="0"/>
          <w:szCs w:val="32"/>
        </w:rPr>
      </w:pPr>
      <w:r w:rsidRPr="0039444B">
        <w:rPr>
          <w:rFonts w:ascii="仿宋_GB2312" w:hAnsi="宋体" w:cs="仿宋_GB2312" w:hint="eastAsia"/>
          <w:color w:val="000000"/>
          <w:kern w:val="0"/>
          <w:szCs w:val="32"/>
        </w:rPr>
        <w:t>（1）参评成果界定(学校要求)</w:t>
      </w:r>
    </w:p>
    <w:p w14:paraId="451BCA64" w14:textId="77777777" w:rsidR="0039444B" w:rsidRPr="0039444B" w:rsidRDefault="0039444B" w:rsidP="0039444B">
      <w:pPr>
        <w:widowControl/>
        <w:spacing w:line="560" w:lineRule="atLeast"/>
        <w:ind w:firstLineChars="200" w:firstLine="632"/>
        <w:jc w:val="left"/>
        <w:rPr>
          <w:rFonts w:ascii="仿宋_GB2312" w:hAnsi="宋体" w:cs="Times New Roman"/>
          <w:kern w:val="0"/>
          <w:szCs w:val="32"/>
        </w:rPr>
      </w:pPr>
      <w:r w:rsidRPr="0039444B">
        <w:rPr>
          <w:rFonts w:ascii="仿宋_GB2312" w:hAnsi="宋体" w:cs="仿宋_GB2312" w:hint="eastAsia"/>
          <w:color w:val="000000"/>
          <w:kern w:val="0"/>
          <w:szCs w:val="32"/>
        </w:rPr>
        <w:t>①</w:t>
      </w:r>
      <w:r w:rsidRPr="0039444B">
        <w:rPr>
          <w:rFonts w:ascii="仿宋_GB2312" w:hAnsi="宋体" w:cs="仿宋_GB2312" w:hint="eastAsia"/>
          <w:kern w:val="0"/>
          <w:szCs w:val="32"/>
        </w:rPr>
        <w:t>科研成果复印件应包括封面、目录和正文三部分；有录用通知但未正式发表的科研成果</w:t>
      </w:r>
      <w:r w:rsidRPr="0039444B">
        <w:rPr>
          <w:rFonts w:ascii="仿宋_GB2312" w:hAnsi="宋体" w:cs="仿宋_GB2312" w:hint="eastAsia"/>
          <w:b/>
          <w:bCs/>
          <w:kern w:val="0"/>
          <w:szCs w:val="32"/>
        </w:rPr>
        <w:t>不参加评选</w:t>
      </w:r>
      <w:r w:rsidRPr="0039444B">
        <w:rPr>
          <w:rFonts w:ascii="仿宋_GB2312" w:hAnsi="宋体" w:cs="仿宋_GB2312" w:hint="eastAsia"/>
          <w:kern w:val="0"/>
          <w:szCs w:val="32"/>
        </w:rPr>
        <w:t>；有DOI号并且以快报形式在网上发表的科研论文可作为科研成果进行申报，但需提供图书馆的文献检索证明并加盖检索证明公章；科研成果的第一署名单位必须是厦门大学能源学院或能源研究院；增刊、论文摘要、会议综述、活动报道、无正式CN号论文等不得列入科研成果进行申报。</w:t>
      </w:r>
    </w:p>
    <w:p w14:paraId="56302775" w14:textId="77777777" w:rsidR="0039444B" w:rsidRPr="0039444B" w:rsidRDefault="0039444B" w:rsidP="0039444B">
      <w:pPr>
        <w:widowControl/>
        <w:spacing w:line="560" w:lineRule="atLeast"/>
        <w:ind w:firstLineChars="200" w:firstLine="632"/>
        <w:jc w:val="left"/>
        <w:rPr>
          <w:rFonts w:ascii="仿宋_GB2312" w:hAnsi="宋体" w:cs="仿宋_GB2312"/>
          <w:kern w:val="0"/>
          <w:szCs w:val="32"/>
        </w:rPr>
      </w:pPr>
      <w:r w:rsidRPr="0039444B">
        <w:rPr>
          <w:rFonts w:ascii="仿宋_GB2312" w:hAnsi="宋体" w:cs="仿宋_GB2312" w:hint="eastAsia"/>
          <w:color w:val="000000"/>
          <w:kern w:val="0"/>
          <w:szCs w:val="32"/>
        </w:rPr>
        <w:t>②</w:t>
      </w:r>
      <w:r w:rsidRPr="0039444B">
        <w:rPr>
          <w:rFonts w:ascii="仿宋_GB2312" w:hAnsi="宋体" w:cs="仿宋_GB2312" w:hint="eastAsia"/>
          <w:kern w:val="0"/>
          <w:szCs w:val="32"/>
        </w:rPr>
        <w:t>获得发明专利，以取得授权通知书或者专利证书为准；只有公开号的发明专利的权重因子为10。实用新型专利不得列入科研成果。</w:t>
      </w:r>
    </w:p>
    <w:p w14:paraId="10669823" w14:textId="77777777" w:rsidR="0039444B" w:rsidRPr="0039444B" w:rsidRDefault="0039444B" w:rsidP="0039444B">
      <w:pPr>
        <w:widowControl/>
        <w:spacing w:line="560" w:lineRule="atLeast"/>
        <w:ind w:firstLineChars="200" w:firstLine="632"/>
        <w:jc w:val="left"/>
        <w:rPr>
          <w:rFonts w:ascii="仿宋_GB2312" w:hAnsi="宋体" w:cs="Times New Roman"/>
          <w:kern w:val="0"/>
          <w:szCs w:val="32"/>
        </w:rPr>
      </w:pPr>
      <w:r w:rsidRPr="0039444B">
        <w:rPr>
          <w:rFonts w:ascii="仿宋_GB2312" w:hAnsi="宋体" w:cs="仿宋_GB2312" w:hint="eastAsia"/>
          <w:color w:val="000000"/>
          <w:kern w:val="0"/>
          <w:szCs w:val="32"/>
        </w:rPr>
        <w:t>③</w:t>
      </w:r>
      <w:r w:rsidRPr="0039444B">
        <w:rPr>
          <w:rFonts w:ascii="仿宋_GB2312" w:hAnsi="宋体" w:cs="仿宋_GB2312" w:hint="eastAsia"/>
          <w:kern w:val="0"/>
          <w:szCs w:val="32"/>
        </w:rPr>
        <w:t>申请参评的事迹</w:t>
      </w:r>
      <w:r w:rsidRPr="0039444B">
        <w:rPr>
          <w:rFonts w:ascii="仿宋_GB2312" w:hAnsi="宋体" w:cs="仿宋_GB2312" w:hint="eastAsia"/>
          <w:color w:val="000000"/>
          <w:kern w:val="0"/>
          <w:szCs w:val="32"/>
        </w:rPr>
        <w:t>应在申请截止日期之前取得；</w:t>
      </w:r>
    </w:p>
    <w:p w14:paraId="4AE72804" w14:textId="77777777" w:rsidR="0039444B" w:rsidRPr="0039444B" w:rsidRDefault="0039444B" w:rsidP="0039444B">
      <w:pPr>
        <w:widowControl/>
        <w:spacing w:line="560" w:lineRule="atLeast"/>
        <w:ind w:firstLineChars="200" w:firstLine="632"/>
        <w:jc w:val="left"/>
        <w:rPr>
          <w:rFonts w:ascii="仿宋_GB2312" w:hAnsi="宋体" w:cs="Times New Roman"/>
          <w:color w:val="000000"/>
          <w:kern w:val="0"/>
          <w:szCs w:val="32"/>
        </w:rPr>
      </w:pPr>
      <w:r w:rsidRPr="0039444B">
        <w:rPr>
          <w:rFonts w:ascii="仿宋_GB2312" w:hAnsi="宋体" w:cs="仿宋_GB2312" w:hint="eastAsia"/>
          <w:bCs/>
          <w:color w:val="000000"/>
          <w:kern w:val="0"/>
          <w:szCs w:val="32"/>
        </w:rPr>
        <w:t>④申请参评的材料不得重复使用。</w:t>
      </w:r>
    </w:p>
    <w:p w14:paraId="20F70F3A" w14:textId="77777777" w:rsidR="0039444B" w:rsidRPr="0039444B" w:rsidRDefault="0039444B" w:rsidP="0039444B">
      <w:pPr>
        <w:widowControl/>
        <w:spacing w:line="560" w:lineRule="atLeast"/>
        <w:ind w:firstLineChars="200" w:firstLine="632"/>
        <w:jc w:val="left"/>
        <w:rPr>
          <w:rFonts w:ascii="仿宋_GB2312" w:hAnsi="宋体" w:cs="Times New Roman"/>
          <w:color w:val="000000"/>
          <w:kern w:val="0"/>
          <w:szCs w:val="32"/>
        </w:rPr>
      </w:pPr>
      <w:r w:rsidRPr="0039444B">
        <w:rPr>
          <w:rFonts w:ascii="仿宋_GB2312" w:hAnsi="宋体" w:cs="仿宋_GB2312" w:hint="eastAsia"/>
          <w:color w:val="000000"/>
          <w:kern w:val="0"/>
          <w:szCs w:val="32"/>
        </w:rPr>
        <w:t>（2）论文量化计分</w:t>
      </w:r>
    </w:p>
    <w:p w14:paraId="410FDB84" w14:textId="77777777" w:rsidR="0039444B" w:rsidRPr="0039444B" w:rsidRDefault="0039444B" w:rsidP="0039444B">
      <w:pPr>
        <w:adjustRightInd w:val="0"/>
        <w:spacing w:line="560" w:lineRule="exact"/>
        <w:ind w:firstLineChars="200" w:firstLine="632"/>
        <w:jc w:val="left"/>
        <w:rPr>
          <w:rFonts w:ascii="仿宋_GB2312" w:hAnsi="宋体" w:cs="Times New Roman"/>
          <w:szCs w:val="32"/>
        </w:rPr>
      </w:pPr>
      <w:r w:rsidRPr="0039444B">
        <w:rPr>
          <w:rFonts w:ascii="仿宋_GB2312" w:hAnsi="宋体" w:cs="宋体" w:hint="eastAsia"/>
          <w:szCs w:val="32"/>
        </w:rPr>
        <w:t>①论文分数</w:t>
      </w:r>
      <w:r w:rsidRPr="0039444B">
        <w:rPr>
          <w:rFonts w:ascii="仿宋_GB2312" w:hAnsi="宋体" w:cs="Times New Roman" w:hint="eastAsia"/>
          <w:szCs w:val="32"/>
        </w:rPr>
        <w:t>=</w:t>
      </w:r>
      <w:r w:rsidRPr="0039444B">
        <w:rPr>
          <w:rFonts w:ascii="仿宋_GB2312" w:hAnsi="宋体" w:cs="Times New Roman"/>
          <w:position w:val="-14"/>
          <w:szCs w:val="32"/>
        </w:rPr>
        <w:object w:dxaOrig="2640" w:dyaOrig="400" w14:anchorId="551B5257">
          <v:shape id="_x0000_i1026" type="#_x0000_t75" style="width:132pt;height:20.25pt" o:ole="">
            <v:imagedata r:id="rId9" o:title=""/>
          </v:shape>
          <o:OLEObject Type="Embed" ProgID="Equation.3" ShapeID="_x0000_i1026" DrawAspect="Content" ObjectID="_1740983070" r:id="rId10"/>
        </w:object>
      </w:r>
      <w:r w:rsidRPr="0039444B">
        <w:rPr>
          <w:rFonts w:ascii="仿宋_GB2312" w:hAnsi="宋体" w:cs="宋体" w:hint="eastAsia"/>
          <w:szCs w:val="32"/>
        </w:rPr>
        <w:t>，包括评奖期间发表的各类科研论文。</w:t>
      </w:r>
    </w:p>
    <w:p w14:paraId="186540AE" w14:textId="77777777" w:rsidR="0039444B" w:rsidRPr="0039444B" w:rsidRDefault="0039444B" w:rsidP="0039444B">
      <w:pPr>
        <w:adjustRightInd w:val="0"/>
        <w:spacing w:line="560" w:lineRule="exact"/>
        <w:ind w:firstLineChars="200" w:firstLine="632"/>
        <w:jc w:val="left"/>
        <w:rPr>
          <w:rFonts w:ascii="仿宋_GB2312" w:hAnsi="宋体" w:cs="Times New Roman"/>
          <w:szCs w:val="32"/>
        </w:rPr>
      </w:pPr>
      <w:r w:rsidRPr="0039444B">
        <w:rPr>
          <w:rFonts w:ascii="仿宋_GB2312" w:hAnsi="宋体" w:cs="宋体" w:hint="eastAsia"/>
          <w:szCs w:val="32"/>
        </w:rPr>
        <w:lastRenderedPageBreak/>
        <w:t>②权重因子计算方法</w:t>
      </w:r>
    </w:p>
    <w:p w14:paraId="7F6F11FF" w14:textId="1F3DAE58" w:rsidR="0039444B" w:rsidRPr="0039444B" w:rsidRDefault="0039444B" w:rsidP="0039444B">
      <w:pPr>
        <w:adjustRightInd w:val="0"/>
        <w:spacing w:line="560" w:lineRule="exact"/>
        <w:ind w:firstLineChars="200" w:firstLine="632"/>
        <w:rPr>
          <w:rFonts w:ascii="仿宋_GB2312" w:hAnsi="宋体" w:cs="Times New Roman"/>
          <w:szCs w:val="32"/>
        </w:rPr>
      </w:pPr>
      <w:r w:rsidRPr="0039444B">
        <w:rPr>
          <w:rFonts w:ascii="仿宋_GB2312" w:hAnsi="宋体" w:cs="宋体" w:hint="eastAsia"/>
          <w:szCs w:val="32"/>
        </w:rPr>
        <w:t>论文权重因子的数值为：依据</w:t>
      </w:r>
      <w:r w:rsidR="0050275A">
        <w:rPr>
          <w:rFonts w:ascii="仿宋_GB2312" w:hAnsi="宋体" w:cs="Times New Roman" w:hint="eastAsia"/>
          <w:szCs w:val="32"/>
          <w:highlight w:val="yellow"/>
        </w:rPr>
        <w:t>《</w:t>
      </w:r>
      <w:r w:rsidR="00535E08" w:rsidRPr="00535E08">
        <w:rPr>
          <w:rFonts w:ascii="仿宋_GB2312" w:hAnsi="宋体" w:cs="宋体" w:hint="eastAsia"/>
          <w:szCs w:val="32"/>
          <w:highlight w:val="yellow"/>
        </w:rPr>
        <w:t>中国科学院文献情报中心期刊分区表</w:t>
      </w:r>
      <w:r w:rsidR="0050275A">
        <w:rPr>
          <w:rFonts w:ascii="仿宋_GB2312" w:hAnsi="宋体" w:cs="宋体" w:hint="eastAsia"/>
          <w:szCs w:val="32"/>
          <w:highlight w:val="yellow"/>
        </w:rPr>
        <w:t>》</w:t>
      </w:r>
      <w:bookmarkStart w:id="0" w:name="_GoBack"/>
      <w:bookmarkEnd w:id="0"/>
      <w:r w:rsidRPr="0039444B">
        <w:rPr>
          <w:rFonts w:ascii="仿宋_GB2312" w:hAnsi="宋体" w:cs="宋体" w:hint="eastAsia"/>
          <w:szCs w:val="32"/>
        </w:rPr>
        <w:t>，在</w:t>
      </w:r>
      <w:r w:rsidRPr="0039444B">
        <w:rPr>
          <w:rFonts w:ascii="仿宋_GB2312" w:hAnsi="宋体" w:cs="Times New Roman" w:hint="eastAsia"/>
          <w:szCs w:val="32"/>
        </w:rPr>
        <w:t>1</w:t>
      </w:r>
      <w:r w:rsidRPr="0039444B">
        <w:rPr>
          <w:rFonts w:ascii="仿宋_GB2312" w:hAnsi="宋体" w:cs="宋体" w:hint="eastAsia"/>
          <w:szCs w:val="32"/>
        </w:rPr>
        <w:t>区刊物发表论文的，每篇权重因子为</w:t>
      </w:r>
      <w:r w:rsidRPr="0039444B">
        <w:rPr>
          <w:rFonts w:ascii="仿宋_GB2312" w:hAnsi="宋体" w:cs="Times New Roman" w:hint="eastAsia"/>
          <w:szCs w:val="32"/>
        </w:rPr>
        <w:t>160</w:t>
      </w:r>
      <w:r w:rsidRPr="0039444B">
        <w:rPr>
          <w:rFonts w:ascii="仿宋_GB2312" w:hAnsi="宋体" w:cs="宋体" w:hint="eastAsia"/>
          <w:szCs w:val="32"/>
        </w:rPr>
        <w:t>；在</w:t>
      </w:r>
      <w:r w:rsidRPr="0039444B">
        <w:rPr>
          <w:rFonts w:ascii="仿宋_GB2312" w:hAnsi="宋体" w:cs="Times New Roman" w:hint="eastAsia"/>
          <w:szCs w:val="32"/>
        </w:rPr>
        <w:t>2</w:t>
      </w:r>
      <w:r w:rsidRPr="0039444B">
        <w:rPr>
          <w:rFonts w:ascii="仿宋_GB2312" w:hAnsi="宋体" w:cs="宋体" w:hint="eastAsia"/>
          <w:szCs w:val="32"/>
        </w:rPr>
        <w:t>区发表的，每篇为</w:t>
      </w:r>
      <w:r w:rsidRPr="0039444B">
        <w:rPr>
          <w:rFonts w:ascii="仿宋_GB2312" w:hAnsi="宋体" w:cs="Times New Roman" w:hint="eastAsia"/>
          <w:szCs w:val="32"/>
        </w:rPr>
        <w:t>80</w:t>
      </w:r>
      <w:r w:rsidRPr="0039444B">
        <w:rPr>
          <w:rFonts w:ascii="仿宋_GB2312" w:hAnsi="宋体" w:cs="宋体" w:hint="eastAsia"/>
          <w:szCs w:val="32"/>
        </w:rPr>
        <w:t>；在</w:t>
      </w:r>
      <w:r w:rsidRPr="0039444B">
        <w:rPr>
          <w:rFonts w:ascii="仿宋_GB2312" w:hAnsi="宋体" w:cs="Times New Roman" w:hint="eastAsia"/>
          <w:szCs w:val="32"/>
        </w:rPr>
        <w:t>3</w:t>
      </w:r>
      <w:r w:rsidRPr="0039444B">
        <w:rPr>
          <w:rFonts w:ascii="仿宋_GB2312" w:hAnsi="宋体" w:cs="宋体" w:hint="eastAsia"/>
          <w:szCs w:val="32"/>
        </w:rPr>
        <w:t>区发表的，每篇为</w:t>
      </w:r>
      <w:r w:rsidRPr="0039444B">
        <w:rPr>
          <w:rFonts w:ascii="仿宋_GB2312" w:hAnsi="宋体" w:cs="Times New Roman" w:hint="eastAsia"/>
          <w:szCs w:val="32"/>
        </w:rPr>
        <w:t>40</w:t>
      </w:r>
      <w:r w:rsidRPr="0039444B">
        <w:rPr>
          <w:rFonts w:ascii="仿宋_GB2312" w:hAnsi="宋体" w:cs="宋体" w:hint="eastAsia"/>
          <w:szCs w:val="32"/>
        </w:rPr>
        <w:t>；在</w:t>
      </w:r>
      <w:r w:rsidRPr="0039444B">
        <w:rPr>
          <w:rFonts w:ascii="仿宋_GB2312" w:hAnsi="宋体" w:cs="Times New Roman" w:hint="eastAsia"/>
          <w:szCs w:val="32"/>
        </w:rPr>
        <w:t>4</w:t>
      </w:r>
      <w:r w:rsidRPr="0039444B">
        <w:rPr>
          <w:rFonts w:ascii="仿宋_GB2312" w:hAnsi="宋体" w:cs="宋体" w:hint="eastAsia"/>
          <w:szCs w:val="32"/>
        </w:rPr>
        <w:t>区发表的，每篇为</w:t>
      </w:r>
      <w:r w:rsidRPr="0039444B">
        <w:rPr>
          <w:rFonts w:ascii="仿宋_GB2312" w:hAnsi="宋体" w:cs="Times New Roman" w:hint="eastAsia"/>
          <w:szCs w:val="32"/>
        </w:rPr>
        <w:t>20</w:t>
      </w:r>
      <w:r w:rsidRPr="0039444B">
        <w:rPr>
          <w:rFonts w:ascii="仿宋_GB2312" w:hAnsi="宋体" w:cs="宋体" w:hint="eastAsia"/>
          <w:szCs w:val="32"/>
        </w:rPr>
        <w:t>；在国内核心期刊发表的，每篇为</w:t>
      </w:r>
      <w:r w:rsidRPr="0039444B">
        <w:rPr>
          <w:rFonts w:ascii="仿宋_GB2312" w:hAnsi="宋体" w:cs="Times New Roman" w:hint="eastAsia"/>
          <w:szCs w:val="32"/>
        </w:rPr>
        <w:t>10</w:t>
      </w:r>
      <w:r w:rsidRPr="0039444B">
        <w:rPr>
          <w:rFonts w:ascii="仿宋_GB2312" w:hAnsi="宋体" w:cs="宋体" w:hint="eastAsia"/>
          <w:szCs w:val="32"/>
        </w:rPr>
        <w:t>分。</w:t>
      </w:r>
    </w:p>
    <w:p w14:paraId="63126C14" w14:textId="77777777" w:rsidR="0039444B" w:rsidRPr="0039444B" w:rsidRDefault="0039444B" w:rsidP="0039444B">
      <w:pPr>
        <w:adjustRightInd w:val="0"/>
        <w:spacing w:line="560" w:lineRule="exact"/>
        <w:ind w:firstLineChars="200" w:firstLine="632"/>
        <w:rPr>
          <w:rFonts w:ascii="仿宋_GB2312" w:hAnsi="宋体" w:cs="Times New Roman"/>
          <w:szCs w:val="32"/>
        </w:rPr>
      </w:pPr>
      <w:r w:rsidRPr="0039444B">
        <w:rPr>
          <w:rFonts w:ascii="仿宋_GB2312" w:hAnsi="宋体" w:cs="宋体" w:hint="eastAsia"/>
          <w:kern w:val="0"/>
          <w:szCs w:val="32"/>
        </w:rPr>
        <w:t>被</w:t>
      </w:r>
      <w:r w:rsidRPr="0039444B">
        <w:rPr>
          <w:rFonts w:ascii="仿宋_GB2312" w:hAnsi="宋体" w:cs="Times New Roman" w:hint="eastAsia"/>
          <w:kern w:val="0"/>
          <w:szCs w:val="32"/>
        </w:rPr>
        <w:t>SCI</w:t>
      </w:r>
      <w:r w:rsidRPr="0039444B">
        <w:rPr>
          <w:rFonts w:ascii="仿宋_GB2312" w:hAnsi="宋体" w:cs="宋体" w:hint="eastAsia"/>
          <w:kern w:val="0"/>
          <w:szCs w:val="32"/>
        </w:rPr>
        <w:t>、</w:t>
      </w:r>
      <w:r w:rsidRPr="0039444B">
        <w:rPr>
          <w:rFonts w:ascii="仿宋_GB2312" w:hAnsi="宋体" w:cs="Times New Roman" w:hint="eastAsia"/>
          <w:kern w:val="0"/>
          <w:szCs w:val="32"/>
        </w:rPr>
        <w:t>EI</w:t>
      </w:r>
      <w:r w:rsidRPr="0039444B">
        <w:rPr>
          <w:rFonts w:ascii="仿宋_GB2312" w:hAnsi="宋体" w:cs="宋体" w:hint="eastAsia"/>
          <w:kern w:val="0"/>
          <w:szCs w:val="32"/>
        </w:rPr>
        <w:t>、</w:t>
      </w:r>
      <w:r w:rsidRPr="0039444B">
        <w:rPr>
          <w:rFonts w:ascii="仿宋_GB2312" w:hAnsi="宋体" w:cs="Times New Roman" w:hint="eastAsia"/>
          <w:kern w:val="0"/>
          <w:szCs w:val="32"/>
        </w:rPr>
        <w:t>ISTP</w:t>
      </w:r>
      <w:r w:rsidRPr="0039444B">
        <w:rPr>
          <w:rFonts w:ascii="仿宋_GB2312" w:hAnsi="宋体" w:cs="宋体" w:hint="eastAsia"/>
          <w:kern w:val="0"/>
          <w:szCs w:val="32"/>
        </w:rPr>
        <w:t>收录，但尚未列入</w:t>
      </w:r>
      <w:r w:rsidRPr="0039444B">
        <w:rPr>
          <w:rFonts w:ascii="仿宋_GB2312" w:hAnsi="宋体" w:cs="Times New Roman" w:hint="eastAsia"/>
          <w:kern w:val="0"/>
          <w:szCs w:val="32"/>
        </w:rPr>
        <w:t>JCR</w:t>
      </w:r>
      <w:r w:rsidRPr="0039444B">
        <w:rPr>
          <w:rFonts w:ascii="仿宋_GB2312" w:hAnsi="宋体" w:cs="宋体" w:hint="eastAsia"/>
          <w:kern w:val="0"/>
          <w:szCs w:val="32"/>
        </w:rPr>
        <w:t>分区的学术论文，每篇</w:t>
      </w:r>
      <w:r w:rsidRPr="0039444B">
        <w:rPr>
          <w:rFonts w:ascii="仿宋_GB2312" w:hAnsi="宋体" w:cs="宋体" w:hint="eastAsia"/>
          <w:szCs w:val="32"/>
        </w:rPr>
        <w:t>权重因子为</w:t>
      </w:r>
      <w:r w:rsidRPr="0039444B">
        <w:rPr>
          <w:rFonts w:ascii="仿宋_GB2312" w:hAnsi="宋体" w:cs="Times New Roman" w:hint="eastAsia"/>
          <w:szCs w:val="32"/>
        </w:rPr>
        <w:t>15</w:t>
      </w:r>
      <w:r w:rsidRPr="0039444B">
        <w:rPr>
          <w:rFonts w:ascii="仿宋_GB2312" w:hAnsi="宋体" w:cs="宋体" w:hint="eastAsia"/>
          <w:szCs w:val="32"/>
        </w:rPr>
        <w:t>分。</w:t>
      </w:r>
    </w:p>
    <w:p w14:paraId="54C932A0" w14:textId="77777777" w:rsidR="0039444B" w:rsidRPr="0039444B" w:rsidRDefault="0039444B" w:rsidP="0039444B">
      <w:pPr>
        <w:adjustRightInd w:val="0"/>
        <w:spacing w:line="560" w:lineRule="exact"/>
        <w:ind w:firstLineChars="200" w:firstLine="632"/>
        <w:rPr>
          <w:rFonts w:ascii="仿宋_GB2312" w:hAnsi="宋体" w:cs="宋体"/>
          <w:szCs w:val="32"/>
        </w:rPr>
      </w:pPr>
      <w:r w:rsidRPr="0039444B">
        <w:rPr>
          <w:rFonts w:ascii="仿宋_GB2312" w:hAnsi="宋体" w:cs="宋体" w:hint="eastAsia"/>
          <w:szCs w:val="32"/>
        </w:rPr>
        <w:t>在同等成果情况下，若参评人员有一般刊物成果，则给予优先考虑。</w:t>
      </w:r>
    </w:p>
    <w:p w14:paraId="45A80B87" w14:textId="313FEB76" w:rsidR="0039444B" w:rsidRPr="0039444B" w:rsidRDefault="0039444B" w:rsidP="0039444B">
      <w:pPr>
        <w:adjustRightInd w:val="0"/>
        <w:spacing w:line="560" w:lineRule="exact"/>
        <w:ind w:firstLineChars="200" w:firstLine="632"/>
        <w:rPr>
          <w:rFonts w:ascii="仿宋_GB2312" w:hAnsi="宋体" w:cs="Times New Roman"/>
          <w:szCs w:val="32"/>
        </w:rPr>
      </w:pPr>
      <w:r w:rsidRPr="0039444B">
        <w:rPr>
          <w:rFonts w:ascii="仿宋_GB2312" w:hAnsi="宋体" w:cs="Times New Roman" w:hint="eastAsia"/>
          <w:szCs w:val="32"/>
        </w:rPr>
        <w:t>（关于</w:t>
      </w:r>
      <w:r w:rsidR="00516067" w:rsidRPr="00516067">
        <w:rPr>
          <w:rFonts w:ascii="仿宋_GB2312" w:hAnsi="宋体" w:cs="Times New Roman" w:hint="eastAsia"/>
          <w:szCs w:val="32"/>
          <w:highlight w:val="yellow"/>
        </w:rPr>
        <w:t>论文</w:t>
      </w:r>
      <w:r w:rsidRPr="00516067">
        <w:rPr>
          <w:rFonts w:ascii="仿宋_GB2312" w:hAnsi="宋体" w:cs="Times New Roman" w:hint="eastAsia"/>
          <w:szCs w:val="32"/>
          <w:highlight w:val="yellow"/>
        </w:rPr>
        <w:t>分区</w:t>
      </w:r>
      <w:r w:rsidRPr="0039444B">
        <w:rPr>
          <w:rFonts w:ascii="仿宋_GB2312" w:hAnsi="宋体" w:cs="Times New Roman" w:hint="eastAsia"/>
          <w:szCs w:val="32"/>
        </w:rPr>
        <w:t>的认定以文章录用时的分区为准,如文章涉及到大类和小类之分时采用就高不就低的原则认定。分区查询系统统一使用以下链接：http://www.fenqubiao.com/Default.aspx，用户名xmu，</w:t>
      </w:r>
      <w:r w:rsidRPr="00A573F8">
        <w:rPr>
          <w:rFonts w:ascii="仿宋_GB2312" w:hAnsi="宋体" w:cs="Times New Roman" w:hint="eastAsia"/>
          <w:szCs w:val="32"/>
          <w:highlight w:val="yellow"/>
        </w:rPr>
        <w:t>密码xmu</w:t>
      </w:r>
      <w:r w:rsidR="00A573F8" w:rsidRPr="00A573F8">
        <w:rPr>
          <w:rFonts w:ascii="仿宋_GB2312" w:hAnsi="宋体" w:cs="Times New Roman"/>
          <w:szCs w:val="32"/>
          <w:highlight w:val="yellow"/>
        </w:rPr>
        <w:t>123lib</w:t>
      </w:r>
      <w:r w:rsidRPr="0039444B">
        <w:rPr>
          <w:rFonts w:ascii="仿宋_GB2312" w:hAnsi="宋体" w:cs="Times New Roman" w:hint="eastAsia"/>
          <w:szCs w:val="32"/>
        </w:rPr>
        <w:t>。）</w:t>
      </w:r>
    </w:p>
    <w:p w14:paraId="5ACF06FE" w14:textId="77777777" w:rsidR="0039444B" w:rsidRPr="0039444B" w:rsidRDefault="0039444B" w:rsidP="0039444B">
      <w:pPr>
        <w:spacing w:line="560" w:lineRule="exact"/>
        <w:ind w:firstLineChars="200" w:firstLine="632"/>
        <w:rPr>
          <w:rFonts w:ascii="仿宋_GB2312" w:hAnsi="宋体" w:cs="仿宋_GB2312"/>
          <w:kern w:val="0"/>
          <w:szCs w:val="32"/>
        </w:rPr>
      </w:pPr>
      <w:r w:rsidRPr="0039444B">
        <w:rPr>
          <w:rFonts w:ascii="仿宋_GB2312" w:hAnsi="宋体" w:cs="仿宋_GB2312" w:hint="eastAsia"/>
          <w:kern w:val="0"/>
          <w:szCs w:val="32"/>
        </w:rPr>
        <w:t>如果以第一作者身份在Nature和Science 等顶级期刊或其子刊发表文章的给予优先考虑。如果不是第一作者，则参考JCR一区的评分办法。</w:t>
      </w:r>
    </w:p>
    <w:p w14:paraId="534C2D04" w14:textId="77777777" w:rsidR="0039444B" w:rsidRPr="0039444B" w:rsidRDefault="0039444B" w:rsidP="0039444B">
      <w:pPr>
        <w:adjustRightInd w:val="0"/>
        <w:spacing w:line="560" w:lineRule="exact"/>
        <w:ind w:firstLineChars="200" w:firstLine="632"/>
        <w:rPr>
          <w:rFonts w:ascii="仿宋_GB2312" w:hAnsi="宋体" w:cs="Times New Roman"/>
          <w:szCs w:val="32"/>
        </w:rPr>
      </w:pPr>
      <w:r w:rsidRPr="0039444B">
        <w:rPr>
          <w:rFonts w:ascii="仿宋_GB2312" w:hAnsi="宋体" w:cs="宋体" w:hint="eastAsia"/>
          <w:szCs w:val="32"/>
        </w:rPr>
        <w:t>③合作因子数值计算方法：</w:t>
      </w:r>
    </w:p>
    <w:p w14:paraId="2C67DE20" w14:textId="77777777" w:rsidR="0039444B" w:rsidRPr="0039444B" w:rsidRDefault="0039444B" w:rsidP="0039444B">
      <w:pPr>
        <w:spacing w:line="560" w:lineRule="exact"/>
        <w:ind w:firstLineChars="200" w:firstLine="632"/>
        <w:rPr>
          <w:rFonts w:ascii="仿宋_GB2312" w:hAnsi="宋体" w:cs="仿宋_GB2312"/>
          <w:kern w:val="0"/>
          <w:szCs w:val="32"/>
        </w:rPr>
      </w:pPr>
      <w:r w:rsidRPr="0039444B">
        <w:rPr>
          <w:rFonts w:ascii="仿宋_GB2312" w:hAnsi="宋体" w:cs="仿宋_GB2312" w:hint="eastAsia"/>
          <w:kern w:val="0"/>
          <w:szCs w:val="32"/>
        </w:rPr>
        <w:t>按论文署名分摊记分，若导师在署名中排第一位，则署名第二的研究生可视为第一作者；（若协助指导老师为第一作者，则署名第二的研究生视为第二作者）</w:t>
      </w:r>
    </w:p>
    <w:p w14:paraId="27C14C24" w14:textId="77777777" w:rsidR="0039444B" w:rsidRPr="0039444B" w:rsidRDefault="0039444B" w:rsidP="0039444B">
      <w:pPr>
        <w:spacing w:line="560" w:lineRule="exact"/>
        <w:ind w:firstLineChars="200" w:firstLine="632"/>
        <w:rPr>
          <w:rFonts w:ascii="仿宋_GB2312" w:hAnsi="宋体" w:cs="仿宋_GB2312"/>
          <w:kern w:val="0"/>
          <w:szCs w:val="32"/>
        </w:rPr>
      </w:pPr>
      <w:r w:rsidRPr="0039444B">
        <w:rPr>
          <w:rFonts w:ascii="仿宋_GB2312" w:hAnsi="宋体" w:cs="仿宋_GB2312" w:hint="eastAsia"/>
          <w:kern w:val="0"/>
          <w:szCs w:val="32"/>
        </w:rPr>
        <w:t>二人合作的，按7：3分摊；</w:t>
      </w:r>
    </w:p>
    <w:p w14:paraId="3D92C4BD" w14:textId="77777777" w:rsidR="0039444B" w:rsidRPr="0039444B" w:rsidRDefault="0039444B" w:rsidP="0039444B">
      <w:pPr>
        <w:spacing w:line="560" w:lineRule="exact"/>
        <w:ind w:firstLineChars="200" w:firstLine="632"/>
        <w:rPr>
          <w:rFonts w:ascii="仿宋_GB2312" w:hAnsi="宋体" w:cs="仿宋_GB2312"/>
          <w:kern w:val="0"/>
          <w:szCs w:val="32"/>
        </w:rPr>
      </w:pPr>
      <w:r w:rsidRPr="0039444B">
        <w:rPr>
          <w:rFonts w:ascii="仿宋_GB2312" w:hAnsi="宋体" w:cs="仿宋_GB2312" w:hint="eastAsia"/>
          <w:kern w:val="0"/>
          <w:szCs w:val="32"/>
        </w:rPr>
        <w:t>三人及以上合作的，按第一作者：其余作者总和=2：1分摊，</w:t>
      </w:r>
      <w:r w:rsidRPr="0039444B">
        <w:rPr>
          <w:rFonts w:ascii="仿宋_GB2312" w:hAnsi="宋体" w:cs="仿宋_GB2312" w:hint="eastAsia"/>
          <w:kern w:val="0"/>
          <w:szCs w:val="32"/>
        </w:rPr>
        <w:lastRenderedPageBreak/>
        <w:t>即第一作者占总分的2/3，其余作者算分方法如下：</w:t>
      </w:r>
    </w:p>
    <w:p w14:paraId="42926153" w14:textId="77777777" w:rsidR="0039444B" w:rsidRPr="0039444B" w:rsidRDefault="0039444B" w:rsidP="0039444B">
      <w:pPr>
        <w:spacing w:line="560" w:lineRule="exact"/>
        <w:ind w:firstLineChars="200" w:firstLine="632"/>
        <w:rPr>
          <w:rFonts w:ascii="仿宋_GB2312" w:hAnsi="宋体" w:cs="仿宋_GB2312"/>
          <w:kern w:val="0"/>
          <w:szCs w:val="32"/>
        </w:rPr>
      </w:pPr>
      <w:r w:rsidRPr="0039444B">
        <w:rPr>
          <w:rFonts w:ascii="仿宋_GB2312" w:hAnsi="宋体" w:cs="仿宋_GB2312" w:hint="eastAsia"/>
          <w:kern w:val="0"/>
          <w:szCs w:val="32"/>
        </w:rPr>
        <w:t>第n作者的分值(n&gt;=2)=该成果总分*2</w:t>
      </w:r>
      <w:r w:rsidRPr="0039444B">
        <w:rPr>
          <w:rFonts w:ascii="仿宋_GB2312" w:hAnsi="宋体" w:cs="仿宋_GB2312" w:hint="eastAsia"/>
          <w:kern w:val="0"/>
          <w:szCs w:val="32"/>
          <w:vertAlign w:val="superscript"/>
        </w:rPr>
        <w:t>-(n-1)</w:t>
      </w:r>
      <w:r w:rsidRPr="0039444B">
        <w:rPr>
          <w:rFonts w:ascii="仿宋_GB2312" w:hAnsi="宋体" w:cs="仿宋_GB2312" w:hint="eastAsia"/>
          <w:kern w:val="0"/>
          <w:szCs w:val="32"/>
        </w:rPr>
        <w:t>/3，最后两名作者分值比为3:2。</w:t>
      </w:r>
    </w:p>
    <w:p w14:paraId="04AC7EC1" w14:textId="77777777" w:rsidR="0039444B" w:rsidRPr="0039444B" w:rsidRDefault="0039444B" w:rsidP="0039444B">
      <w:pPr>
        <w:adjustRightInd w:val="0"/>
        <w:spacing w:line="560" w:lineRule="exact"/>
        <w:ind w:firstLine="555"/>
        <w:rPr>
          <w:rFonts w:ascii="仿宋_GB2312" w:hAnsi="宋体" w:cs="Times New Roman"/>
          <w:szCs w:val="32"/>
        </w:rPr>
      </w:pPr>
      <w:r w:rsidRPr="0039444B">
        <w:rPr>
          <w:rFonts w:ascii="仿宋_GB2312" w:hAnsi="宋体" w:cs="宋体" w:hint="eastAsia"/>
          <w:kern w:val="0"/>
          <w:szCs w:val="32"/>
        </w:rPr>
        <w:t>（3）</w:t>
      </w:r>
      <w:r w:rsidRPr="0039444B">
        <w:rPr>
          <w:rFonts w:ascii="仿宋_GB2312" w:hAnsi="宋体" w:cs="宋体" w:hint="eastAsia"/>
          <w:szCs w:val="32"/>
        </w:rPr>
        <w:t>论著计分</w:t>
      </w:r>
    </w:p>
    <w:p w14:paraId="68875E2B" w14:textId="77777777" w:rsidR="0039444B" w:rsidRPr="0039444B" w:rsidRDefault="0039444B" w:rsidP="0039444B">
      <w:pPr>
        <w:adjustRightInd w:val="0"/>
        <w:spacing w:line="560" w:lineRule="exact"/>
        <w:ind w:firstLine="555"/>
        <w:rPr>
          <w:rFonts w:ascii="仿宋_GB2312" w:hAnsi="宋体" w:cs="Times New Roman"/>
          <w:szCs w:val="32"/>
        </w:rPr>
      </w:pPr>
      <w:r w:rsidRPr="0039444B">
        <w:rPr>
          <w:rFonts w:ascii="仿宋_GB2312" w:hAnsi="宋体" w:cs="宋体" w:hint="eastAsia"/>
          <w:szCs w:val="32"/>
        </w:rPr>
        <w:t>论著要求为正式出版，单部作品的本人完成量</w:t>
      </w:r>
      <w:r w:rsidRPr="0039444B">
        <w:rPr>
          <w:rFonts w:ascii="仿宋_GB2312" w:hAnsi="宋体" w:cs="Times New Roman" w:hint="eastAsia"/>
          <w:szCs w:val="32"/>
        </w:rPr>
        <w:t>8</w:t>
      </w:r>
      <w:r w:rsidRPr="0039444B">
        <w:rPr>
          <w:rFonts w:ascii="仿宋_GB2312" w:hAnsi="宋体" w:cs="宋体" w:hint="eastAsia"/>
          <w:szCs w:val="32"/>
        </w:rPr>
        <w:t>万字以内不计分，</w:t>
      </w:r>
      <w:r w:rsidRPr="0039444B">
        <w:rPr>
          <w:rFonts w:ascii="仿宋_GB2312" w:hAnsi="宋体" w:cs="Times New Roman" w:hint="eastAsia"/>
          <w:szCs w:val="32"/>
        </w:rPr>
        <w:t>8</w:t>
      </w:r>
      <w:r w:rsidRPr="0039444B">
        <w:rPr>
          <w:rFonts w:ascii="仿宋_GB2312" w:hAnsi="宋体" w:cs="宋体" w:hint="eastAsia"/>
          <w:szCs w:val="32"/>
        </w:rPr>
        <w:t>万字以上统一按10分计，必须有相应工作量的证明材料。</w:t>
      </w:r>
    </w:p>
    <w:p w14:paraId="2C349055" w14:textId="77777777" w:rsidR="0039444B" w:rsidRPr="0039444B" w:rsidRDefault="0039444B" w:rsidP="0039444B">
      <w:pPr>
        <w:adjustRightInd w:val="0"/>
        <w:spacing w:line="560" w:lineRule="exact"/>
        <w:ind w:firstLineChars="200" w:firstLine="632"/>
        <w:rPr>
          <w:rFonts w:ascii="仿宋_GB2312" w:hAnsi="宋体" w:cs="Times New Roman"/>
          <w:szCs w:val="32"/>
        </w:rPr>
      </w:pPr>
      <w:r w:rsidRPr="0039444B">
        <w:rPr>
          <w:rFonts w:ascii="仿宋_GB2312" w:hAnsi="宋体" w:cs="宋体" w:hint="eastAsia"/>
          <w:kern w:val="0"/>
          <w:szCs w:val="32"/>
        </w:rPr>
        <w:t>（4）</w:t>
      </w:r>
      <w:r w:rsidRPr="0039444B">
        <w:rPr>
          <w:rFonts w:ascii="仿宋_GB2312" w:hAnsi="宋体" w:cs="宋体" w:hint="eastAsia"/>
          <w:szCs w:val="32"/>
        </w:rPr>
        <w:t>发明专利的计分</w:t>
      </w:r>
    </w:p>
    <w:p w14:paraId="7791D841" w14:textId="77777777" w:rsidR="0039444B" w:rsidRPr="0039444B" w:rsidRDefault="0039444B" w:rsidP="0039444B">
      <w:pPr>
        <w:adjustRightInd w:val="0"/>
        <w:spacing w:line="560" w:lineRule="exact"/>
        <w:ind w:firstLineChars="200" w:firstLine="632"/>
        <w:rPr>
          <w:rFonts w:ascii="仿宋_GB2312" w:hAnsi="宋体" w:cs="Times New Roman"/>
          <w:szCs w:val="32"/>
        </w:rPr>
      </w:pPr>
      <w:r w:rsidRPr="0039444B">
        <w:rPr>
          <w:rFonts w:ascii="仿宋_GB2312" w:hAnsi="宋体" w:cs="宋体" w:hint="eastAsia"/>
          <w:szCs w:val="32"/>
        </w:rPr>
        <w:t>发明专利每项</w:t>
      </w:r>
      <w:r w:rsidRPr="0039444B">
        <w:rPr>
          <w:rFonts w:ascii="仿宋_GB2312" w:hAnsi="宋体" w:cs="Times New Roman" w:hint="eastAsia"/>
          <w:szCs w:val="32"/>
        </w:rPr>
        <w:t>80</w:t>
      </w:r>
      <w:r w:rsidRPr="0039444B">
        <w:rPr>
          <w:rFonts w:ascii="仿宋_GB2312" w:hAnsi="宋体" w:cs="宋体" w:hint="eastAsia"/>
          <w:szCs w:val="32"/>
        </w:rPr>
        <w:t>分，发明专利以专利号为准，仅有公开号的发明专利可按</w:t>
      </w:r>
      <w:r w:rsidRPr="0039444B">
        <w:rPr>
          <w:rFonts w:ascii="仿宋_GB2312" w:hAnsi="宋体" w:cs="Times New Roman" w:hint="eastAsia"/>
          <w:szCs w:val="32"/>
        </w:rPr>
        <w:t>10</w:t>
      </w:r>
      <w:r w:rsidRPr="0039444B">
        <w:rPr>
          <w:rFonts w:ascii="仿宋_GB2312" w:hAnsi="宋体" w:cs="宋体" w:hint="eastAsia"/>
          <w:szCs w:val="32"/>
        </w:rPr>
        <w:t>分计分；国际专利每项</w:t>
      </w:r>
      <w:r w:rsidRPr="0039444B">
        <w:rPr>
          <w:rFonts w:ascii="仿宋_GB2312" w:hAnsi="宋体" w:cs="Times New Roman" w:hint="eastAsia"/>
          <w:szCs w:val="32"/>
        </w:rPr>
        <w:t>120</w:t>
      </w:r>
      <w:r w:rsidRPr="0039444B">
        <w:rPr>
          <w:rFonts w:ascii="仿宋_GB2312" w:hAnsi="宋体" w:cs="宋体" w:hint="eastAsia"/>
          <w:szCs w:val="32"/>
        </w:rPr>
        <w:t>分。具体算分方法参照论文算分。特殊情况说明：如果发明专利在仅有公开号时已用于评奖，后专利获得授权，可再次使用该专利评奖，分值：授权后专利分减去10分为权重因子。必须出具相关的证明说明其工作量。</w:t>
      </w:r>
    </w:p>
    <w:p w14:paraId="31222B7A" w14:textId="77777777" w:rsidR="0039444B" w:rsidRPr="0039444B" w:rsidRDefault="0039444B" w:rsidP="0039444B">
      <w:pPr>
        <w:adjustRightInd w:val="0"/>
        <w:spacing w:line="560" w:lineRule="exact"/>
        <w:ind w:firstLineChars="200" w:firstLine="632"/>
        <w:rPr>
          <w:rFonts w:ascii="仿宋_GB2312" w:hAnsi="宋体" w:cs="Times New Roman"/>
          <w:szCs w:val="32"/>
        </w:rPr>
      </w:pPr>
      <w:r w:rsidRPr="0039444B">
        <w:rPr>
          <w:rFonts w:ascii="仿宋_GB2312" w:hAnsi="宋体" w:cs="Times New Roman" w:hint="eastAsia"/>
          <w:szCs w:val="32"/>
        </w:rPr>
        <w:t>（5）</w:t>
      </w:r>
      <w:r w:rsidRPr="0039444B">
        <w:rPr>
          <w:rFonts w:ascii="仿宋_GB2312" w:hAnsi="宋体" w:cs="宋体" w:hint="eastAsia"/>
          <w:szCs w:val="32"/>
        </w:rPr>
        <w:t>到国外参加国际性学术会议并作会议报告的计</w:t>
      </w:r>
      <w:r w:rsidRPr="0039444B">
        <w:rPr>
          <w:rFonts w:ascii="仿宋_GB2312" w:hAnsi="宋体" w:cs="Times New Roman" w:hint="eastAsia"/>
          <w:szCs w:val="32"/>
        </w:rPr>
        <w:t>20</w:t>
      </w:r>
      <w:r w:rsidRPr="0039444B">
        <w:rPr>
          <w:rFonts w:ascii="仿宋_GB2312" w:hAnsi="宋体" w:cs="宋体" w:hint="eastAsia"/>
          <w:szCs w:val="32"/>
        </w:rPr>
        <w:t>分，在国内参加国际学术会议并作会议报告的计</w:t>
      </w:r>
      <w:r w:rsidRPr="0039444B">
        <w:rPr>
          <w:rFonts w:ascii="仿宋_GB2312" w:hAnsi="宋体" w:cs="Times New Roman" w:hint="eastAsia"/>
          <w:szCs w:val="32"/>
        </w:rPr>
        <w:t>15</w:t>
      </w:r>
      <w:r w:rsidRPr="0039444B">
        <w:rPr>
          <w:rFonts w:ascii="仿宋_GB2312" w:hAnsi="宋体" w:cs="宋体" w:hint="eastAsia"/>
          <w:szCs w:val="32"/>
        </w:rPr>
        <w:t>分，参加全国性学术会议并作会议报告的计</w:t>
      </w:r>
      <w:r w:rsidRPr="0039444B">
        <w:rPr>
          <w:rFonts w:ascii="仿宋_GB2312" w:hAnsi="宋体" w:cs="Times New Roman" w:hint="eastAsia"/>
          <w:szCs w:val="32"/>
        </w:rPr>
        <w:t>10</w:t>
      </w:r>
      <w:r w:rsidRPr="0039444B">
        <w:rPr>
          <w:rFonts w:ascii="仿宋_GB2312" w:hAnsi="宋体" w:cs="宋体" w:hint="eastAsia"/>
          <w:szCs w:val="32"/>
        </w:rPr>
        <w:t>分。</w:t>
      </w:r>
    </w:p>
    <w:p w14:paraId="06EAB686" w14:textId="77777777" w:rsidR="0039444B" w:rsidRPr="0039444B" w:rsidRDefault="0039444B" w:rsidP="0039444B">
      <w:pPr>
        <w:adjustRightInd w:val="0"/>
        <w:spacing w:line="560" w:lineRule="exact"/>
        <w:ind w:firstLineChars="200" w:firstLine="632"/>
        <w:rPr>
          <w:rFonts w:ascii="仿宋_GB2312" w:hAnsi="宋体" w:cs="宋体"/>
          <w:szCs w:val="32"/>
        </w:rPr>
      </w:pPr>
      <w:r w:rsidRPr="0039444B">
        <w:rPr>
          <w:rFonts w:ascii="仿宋_GB2312" w:hAnsi="宋体" w:cs="宋体" w:hint="eastAsia"/>
          <w:szCs w:val="32"/>
        </w:rPr>
        <w:t>（6）研究生参加科创竞赛必须是高级别、高水平、高质量赛事，主要品牌赛事有：全国“互联网＋”大学生创新创业大赛、“创青春”中国大学生创业计划竞赛、“挑战杯”全国大学生课外学术科技作品竞赛、全国大学生节能减排大赛、全国研究生能源装备创新设计大赛等，具体赛事的认定由学院奖学金评审委员会研究讨论后决定，按以下办法计分：</w:t>
      </w:r>
    </w:p>
    <w:p w14:paraId="7568E5ED" w14:textId="77777777" w:rsidR="0039444B" w:rsidRPr="0039444B" w:rsidRDefault="0039444B" w:rsidP="0039444B">
      <w:pPr>
        <w:adjustRightInd w:val="0"/>
        <w:spacing w:line="560" w:lineRule="exact"/>
        <w:ind w:firstLineChars="200" w:firstLine="632"/>
        <w:rPr>
          <w:rFonts w:ascii="仿宋_GB2312" w:hAnsi="宋体" w:cs="宋体"/>
          <w:szCs w:val="32"/>
        </w:rPr>
      </w:pPr>
      <w:r w:rsidRPr="0039444B">
        <w:rPr>
          <w:rFonts w:ascii="仿宋_GB2312" w:hAnsi="宋体" w:cs="宋体" w:hint="eastAsia"/>
          <w:szCs w:val="32"/>
        </w:rPr>
        <w:lastRenderedPageBreak/>
        <w:t>国家级一、二、三等奖，分别为140分、80分、50分。</w:t>
      </w:r>
    </w:p>
    <w:p w14:paraId="5449BE97" w14:textId="77777777" w:rsidR="0039444B" w:rsidRPr="0039444B" w:rsidRDefault="0039444B" w:rsidP="0039444B">
      <w:pPr>
        <w:adjustRightInd w:val="0"/>
        <w:spacing w:line="560" w:lineRule="exact"/>
        <w:ind w:firstLineChars="200" w:firstLine="632"/>
        <w:rPr>
          <w:rFonts w:ascii="仿宋_GB2312" w:hAnsi="宋体" w:cs="宋体"/>
          <w:szCs w:val="32"/>
        </w:rPr>
      </w:pPr>
      <w:r w:rsidRPr="0039444B">
        <w:rPr>
          <w:rFonts w:ascii="仿宋_GB2312" w:hAnsi="宋体" w:cs="宋体" w:hint="eastAsia"/>
          <w:szCs w:val="32"/>
        </w:rPr>
        <w:t>省部级一、二、三等奖，分别为80分、40分、20分。</w:t>
      </w:r>
    </w:p>
    <w:p w14:paraId="2C218CAF" w14:textId="77777777" w:rsidR="0039444B" w:rsidRPr="0039444B" w:rsidRDefault="0039444B" w:rsidP="0039444B">
      <w:pPr>
        <w:adjustRightInd w:val="0"/>
        <w:spacing w:line="560" w:lineRule="exact"/>
        <w:ind w:firstLineChars="200" w:firstLine="632"/>
        <w:rPr>
          <w:rFonts w:ascii="仿宋_GB2312" w:hAnsi="宋体" w:cs="宋体"/>
          <w:szCs w:val="32"/>
        </w:rPr>
      </w:pPr>
      <w:r w:rsidRPr="0039444B">
        <w:rPr>
          <w:rFonts w:ascii="仿宋_GB2312" w:hAnsi="宋体" w:cs="宋体" w:hint="eastAsia"/>
          <w:szCs w:val="32"/>
        </w:rPr>
        <w:t>校级一、二、三等奖，分别为20分、10分、5分。</w:t>
      </w:r>
    </w:p>
    <w:p w14:paraId="1E1EE9A5" w14:textId="77777777" w:rsidR="0039444B" w:rsidRPr="0039444B" w:rsidRDefault="0039444B" w:rsidP="0039444B">
      <w:pPr>
        <w:adjustRightInd w:val="0"/>
        <w:spacing w:line="560" w:lineRule="exact"/>
        <w:ind w:firstLineChars="200" w:firstLine="632"/>
        <w:rPr>
          <w:rFonts w:ascii="仿宋_GB2312" w:hAnsi="宋体" w:cs="宋体"/>
          <w:szCs w:val="32"/>
        </w:rPr>
      </w:pPr>
      <w:r w:rsidRPr="0039444B">
        <w:rPr>
          <w:rFonts w:ascii="仿宋_GB2312" w:hAnsi="宋体" w:cs="Times New Roman" w:hint="eastAsia"/>
          <w:szCs w:val="32"/>
        </w:rPr>
        <w:t>因同一项目获得不同等级奖励的，只计最高分，不累计加分；</w:t>
      </w:r>
    </w:p>
    <w:p w14:paraId="22F63124" w14:textId="77777777" w:rsidR="0039444B" w:rsidRPr="0039444B" w:rsidRDefault="0039444B" w:rsidP="0039444B">
      <w:pPr>
        <w:adjustRightInd w:val="0"/>
        <w:spacing w:line="560" w:lineRule="exact"/>
        <w:ind w:firstLineChars="200" w:firstLine="632"/>
        <w:rPr>
          <w:rFonts w:ascii="仿宋_GB2312" w:hAnsi="宋体" w:cs="Times New Roman"/>
          <w:szCs w:val="32"/>
        </w:rPr>
      </w:pPr>
      <w:r w:rsidRPr="0039444B">
        <w:rPr>
          <w:rFonts w:ascii="仿宋_GB2312" w:hAnsi="宋体" w:cs="Times New Roman" w:hint="eastAsia"/>
          <w:szCs w:val="32"/>
        </w:rPr>
        <w:t>团体项目获奖排名不分先后的，分数均摊；有项目负责人或主要贡献者的，或参与者有排名顺序的，参照论文计分方式加分。</w:t>
      </w:r>
    </w:p>
    <w:p w14:paraId="59C7EF85" w14:textId="77777777" w:rsidR="0039444B" w:rsidRPr="0039444B" w:rsidRDefault="0039444B" w:rsidP="0039444B">
      <w:pPr>
        <w:adjustRightInd w:val="0"/>
        <w:spacing w:line="560" w:lineRule="exact"/>
        <w:ind w:firstLineChars="200" w:firstLine="632"/>
        <w:rPr>
          <w:rFonts w:ascii="仿宋_GB2312" w:hAnsi="宋体" w:cs="Times New Roman"/>
          <w:szCs w:val="32"/>
        </w:rPr>
      </w:pPr>
      <w:r w:rsidRPr="0039444B">
        <w:rPr>
          <w:rFonts w:ascii="仿宋_GB2312" w:hAnsi="宋体" w:cs="Times New Roman" w:hint="eastAsia"/>
          <w:szCs w:val="32"/>
        </w:rPr>
        <w:t>3.本细则经学院党政联席会议通过后公布执行，由学院奖学金评审委员会负责解释。</w:t>
      </w:r>
    </w:p>
    <w:p w14:paraId="663C990E" w14:textId="77777777" w:rsidR="001106B7" w:rsidRPr="0039444B" w:rsidRDefault="001106B7" w:rsidP="00E346E9">
      <w:pPr>
        <w:wordWrap w:val="0"/>
        <w:ind w:right="552" w:firstLineChars="150" w:firstLine="474"/>
        <w:rPr>
          <w:rFonts w:ascii="Times New Roman" w:hAnsi="Times New Roman" w:cs="Times New Roman"/>
        </w:rPr>
      </w:pPr>
    </w:p>
    <w:sectPr w:rsidR="001106B7" w:rsidRPr="0039444B" w:rsidSect="005E6F3A">
      <w:pgSz w:w="11906" w:h="16838" w:code="9"/>
      <w:pgMar w:top="2098" w:right="1474" w:bottom="1985" w:left="1588" w:header="851" w:footer="992" w:gutter="0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AB246" w14:textId="77777777" w:rsidR="00E5711B" w:rsidRDefault="00E5711B" w:rsidP="00A36C16">
      <w:r>
        <w:separator/>
      </w:r>
    </w:p>
  </w:endnote>
  <w:endnote w:type="continuationSeparator" w:id="0">
    <w:p w14:paraId="228BED50" w14:textId="77777777" w:rsidR="00E5711B" w:rsidRDefault="00E5711B" w:rsidP="00A36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64972" w14:textId="77777777" w:rsidR="00E5711B" w:rsidRDefault="00E5711B" w:rsidP="00A36C16">
      <w:r>
        <w:separator/>
      </w:r>
    </w:p>
  </w:footnote>
  <w:footnote w:type="continuationSeparator" w:id="0">
    <w:p w14:paraId="63654478" w14:textId="77777777" w:rsidR="00E5711B" w:rsidRDefault="00E5711B" w:rsidP="00A36C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58"/>
  <w:drawingGridVerticalSpacing w:val="579"/>
  <w:displayHorizont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0140B9"/>
    <w:rsid w:val="00006A90"/>
    <w:rsid w:val="000260CD"/>
    <w:rsid w:val="000F30D2"/>
    <w:rsid w:val="00101BFA"/>
    <w:rsid w:val="00101E11"/>
    <w:rsid w:val="001106B7"/>
    <w:rsid w:val="001111CE"/>
    <w:rsid w:val="00117982"/>
    <w:rsid w:val="001360C1"/>
    <w:rsid w:val="0015332A"/>
    <w:rsid w:val="00174C07"/>
    <w:rsid w:val="00180B26"/>
    <w:rsid w:val="001F3625"/>
    <w:rsid w:val="002139D9"/>
    <w:rsid w:val="00220500"/>
    <w:rsid w:val="00230FB6"/>
    <w:rsid w:val="00235DA2"/>
    <w:rsid w:val="002527A0"/>
    <w:rsid w:val="002A4F5C"/>
    <w:rsid w:val="002B3234"/>
    <w:rsid w:val="002E081F"/>
    <w:rsid w:val="002E4F30"/>
    <w:rsid w:val="002E5588"/>
    <w:rsid w:val="00327C4B"/>
    <w:rsid w:val="00327FA8"/>
    <w:rsid w:val="0033220C"/>
    <w:rsid w:val="003343C9"/>
    <w:rsid w:val="0039444B"/>
    <w:rsid w:val="0039638B"/>
    <w:rsid w:val="003C0C6C"/>
    <w:rsid w:val="003C7C4D"/>
    <w:rsid w:val="003E245B"/>
    <w:rsid w:val="00405E94"/>
    <w:rsid w:val="0045685D"/>
    <w:rsid w:val="0046691B"/>
    <w:rsid w:val="004760B5"/>
    <w:rsid w:val="00485A65"/>
    <w:rsid w:val="00486CC8"/>
    <w:rsid w:val="004900EC"/>
    <w:rsid w:val="004911DF"/>
    <w:rsid w:val="00493C10"/>
    <w:rsid w:val="0049420B"/>
    <w:rsid w:val="004A358C"/>
    <w:rsid w:val="004A6273"/>
    <w:rsid w:val="004C319A"/>
    <w:rsid w:val="004C753B"/>
    <w:rsid w:val="004F60B3"/>
    <w:rsid w:val="0050275A"/>
    <w:rsid w:val="00512C61"/>
    <w:rsid w:val="00516067"/>
    <w:rsid w:val="005324E3"/>
    <w:rsid w:val="00535E08"/>
    <w:rsid w:val="00541E6B"/>
    <w:rsid w:val="0059689F"/>
    <w:rsid w:val="00596EB6"/>
    <w:rsid w:val="005C7D4D"/>
    <w:rsid w:val="005D6B1E"/>
    <w:rsid w:val="005E6F3A"/>
    <w:rsid w:val="005F2382"/>
    <w:rsid w:val="0066434D"/>
    <w:rsid w:val="00673E06"/>
    <w:rsid w:val="006E0D21"/>
    <w:rsid w:val="006E2A13"/>
    <w:rsid w:val="00703F20"/>
    <w:rsid w:val="00705E6C"/>
    <w:rsid w:val="0073578C"/>
    <w:rsid w:val="00737403"/>
    <w:rsid w:val="00742485"/>
    <w:rsid w:val="0076116E"/>
    <w:rsid w:val="0081792A"/>
    <w:rsid w:val="00850D59"/>
    <w:rsid w:val="00865734"/>
    <w:rsid w:val="0088629B"/>
    <w:rsid w:val="008A1E45"/>
    <w:rsid w:val="008B0758"/>
    <w:rsid w:val="008B3CB8"/>
    <w:rsid w:val="008B7D32"/>
    <w:rsid w:val="008E7779"/>
    <w:rsid w:val="00901A10"/>
    <w:rsid w:val="00911F65"/>
    <w:rsid w:val="00922274"/>
    <w:rsid w:val="00930BEE"/>
    <w:rsid w:val="00935C68"/>
    <w:rsid w:val="0094314A"/>
    <w:rsid w:val="00962D3C"/>
    <w:rsid w:val="009B196D"/>
    <w:rsid w:val="009E2F73"/>
    <w:rsid w:val="00A04E91"/>
    <w:rsid w:val="00A36C16"/>
    <w:rsid w:val="00A42352"/>
    <w:rsid w:val="00A56FAE"/>
    <w:rsid w:val="00A573F8"/>
    <w:rsid w:val="00A630FA"/>
    <w:rsid w:val="00A87462"/>
    <w:rsid w:val="00AF4014"/>
    <w:rsid w:val="00AF74D4"/>
    <w:rsid w:val="00B01548"/>
    <w:rsid w:val="00B348F3"/>
    <w:rsid w:val="00B65B8E"/>
    <w:rsid w:val="00BC4F74"/>
    <w:rsid w:val="00BD1646"/>
    <w:rsid w:val="00C42EF1"/>
    <w:rsid w:val="00C82322"/>
    <w:rsid w:val="00CB75A4"/>
    <w:rsid w:val="00CF25E6"/>
    <w:rsid w:val="00D00B1B"/>
    <w:rsid w:val="00D21A82"/>
    <w:rsid w:val="00D55869"/>
    <w:rsid w:val="00D904A6"/>
    <w:rsid w:val="00DD4D0F"/>
    <w:rsid w:val="00E346E9"/>
    <w:rsid w:val="00E4201C"/>
    <w:rsid w:val="00E5711B"/>
    <w:rsid w:val="00E6251D"/>
    <w:rsid w:val="00EA4692"/>
    <w:rsid w:val="00EE4FB6"/>
    <w:rsid w:val="00EF395E"/>
    <w:rsid w:val="00F009D2"/>
    <w:rsid w:val="00F051F6"/>
    <w:rsid w:val="00F05BBD"/>
    <w:rsid w:val="00F30817"/>
    <w:rsid w:val="00F44C47"/>
    <w:rsid w:val="00F70529"/>
    <w:rsid w:val="00F7467B"/>
    <w:rsid w:val="00F84EF7"/>
    <w:rsid w:val="00F85051"/>
    <w:rsid w:val="00F8735E"/>
    <w:rsid w:val="00F9549B"/>
    <w:rsid w:val="00F9674B"/>
    <w:rsid w:val="00FB2122"/>
    <w:rsid w:val="06D628F2"/>
    <w:rsid w:val="07C13DD4"/>
    <w:rsid w:val="0C9A5AD6"/>
    <w:rsid w:val="0FD40D01"/>
    <w:rsid w:val="24775953"/>
    <w:rsid w:val="2BA412C9"/>
    <w:rsid w:val="30094C07"/>
    <w:rsid w:val="33A657E0"/>
    <w:rsid w:val="35D01620"/>
    <w:rsid w:val="43136979"/>
    <w:rsid w:val="470140B9"/>
    <w:rsid w:val="4C9A479E"/>
    <w:rsid w:val="4CED724A"/>
    <w:rsid w:val="4E755340"/>
    <w:rsid w:val="4EE24248"/>
    <w:rsid w:val="4FF14457"/>
    <w:rsid w:val="53DF71B5"/>
    <w:rsid w:val="56DE4273"/>
    <w:rsid w:val="5B644AB3"/>
    <w:rsid w:val="60312F40"/>
    <w:rsid w:val="60E7209B"/>
    <w:rsid w:val="681B2ED4"/>
    <w:rsid w:val="6948576F"/>
    <w:rsid w:val="6C5F757A"/>
    <w:rsid w:val="6EDB69D1"/>
    <w:rsid w:val="76D02720"/>
    <w:rsid w:val="7CF901FB"/>
    <w:rsid w:val="7D171804"/>
    <w:rsid w:val="7D36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B31F697"/>
  <w15:docId w15:val="{1A144321-5673-4760-884A-FE3F7FA4F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01C"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c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qFormat/>
    <w:rPr>
      <w:color w:val="0099FF"/>
      <w:u w:val="none"/>
    </w:rPr>
  </w:style>
  <w:style w:type="character" w:styleId="ae">
    <w:name w:val="Hyperlink"/>
    <w:basedOn w:val="a0"/>
    <w:qFormat/>
    <w:rPr>
      <w:color w:val="0099FF"/>
      <w:u w:val="none"/>
    </w:rPr>
  </w:style>
  <w:style w:type="character" w:customStyle="1" w:styleId="yes">
    <w:name w:val="yes"/>
    <w:basedOn w:val="a0"/>
    <w:qFormat/>
    <w:rPr>
      <w:color w:val="FFFFFF"/>
      <w:sz w:val="21"/>
      <w:szCs w:val="21"/>
      <w:bdr w:val="single" w:sz="6" w:space="0" w:color="74C302"/>
    </w:rPr>
  </w:style>
  <w:style w:type="character" w:customStyle="1" w:styleId="cancel">
    <w:name w:val="cancel"/>
    <w:basedOn w:val="a0"/>
    <w:qFormat/>
    <w:rPr>
      <w:color w:val="FFFFFF"/>
      <w:sz w:val="21"/>
      <w:szCs w:val="21"/>
      <w:bdr w:val="single" w:sz="6" w:space="0" w:color="02B4C3"/>
    </w:rPr>
  </w:style>
  <w:style w:type="character" w:customStyle="1" w:styleId="disabled">
    <w:name w:val="disabled"/>
    <w:basedOn w:val="a0"/>
    <w:qFormat/>
    <w:rPr>
      <w:color w:val="CCCCCC"/>
      <w:bdr w:val="single" w:sz="6" w:space="0" w:color="F3F3F3"/>
    </w:rPr>
  </w:style>
  <w:style w:type="character" w:customStyle="1" w:styleId="current1">
    <w:name w:val="current1"/>
    <w:basedOn w:val="a0"/>
    <w:qFormat/>
    <w:rPr>
      <w:b/>
      <w:color w:val="FFFFFF"/>
      <w:bdr w:val="single" w:sz="6" w:space="0" w:color="52BFEA"/>
      <w:shd w:val="clear" w:color="auto" w:fill="52BFEA"/>
    </w:rPr>
  </w:style>
  <w:style w:type="paragraph" w:styleId="af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a4">
    <w:name w:val="日期 字符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table" w:customStyle="1" w:styleId="1">
    <w:name w:val="网格型1"/>
    <w:basedOn w:val="a1"/>
    <w:next w:val="ac"/>
    <w:uiPriority w:val="39"/>
    <w:rsid w:val="00A36C16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251</Words>
  <Characters>1434</Characters>
  <Application>Microsoft Office Word</Application>
  <DocSecurity>0</DocSecurity>
  <Lines>11</Lines>
  <Paragraphs>3</Paragraphs>
  <ScaleCrop>false</ScaleCrop>
  <Company>Microsoft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方晨亮</cp:lastModifiedBy>
  <cp:revision>12</cp:revision>
  <cp:lastPrinted>2020-04-02T02:04:00Z</cp:lastPrinted>
  <dcterms:created xsi:type="dcterms:W3CDTF">2020-09-22T07:17:00Z</dcterms:created>
  <dcterms:modified xsi:type="dcterms:W3CDTF">2023-03-22T01:38:00Z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